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8927-2023 i Vilhelmina kommun</w:t>
      </w:r>
    </w:p>
    <w:p>
      <w:r>
        <w:t>Detta dokument behandlar höga naturvärden i avverkningsanmälan A 8927-2023 i Vilhelmina kommun. Denna avverkningsanmälan inkom 2023-02-15 00:00:00 och omfattar 1510,3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och rödlistade arter.</w:t>
      </w:r>
    </w:p>
    <w:p>
      <w:pPr>
        <w:pStyle w:val="Heading1"/>
      </w:pPr>
      <w:r>
        <w:t>Naturvårdsarter</w:t>
      </w:r>
    </w:p>
    <w:p>
      <w:r>
        <w:t>I avverkningsanmälan har följande 46 naturvårdsarter hittats: fläckporing (VU), gräddporing (VU), lappticka (VU), mörk blåslav (VU), ostticka (VU), rynkskinn (VU), tajgaskinn (VU), tallbit (VU, §4), blågrå svartspik (NT), doftskinn (NT), fjällvråk (NT, §4), gammelgransskål (NT), garnlav (NT), granticka (NT), gränsticka (NT), harticka (NT), knottrig blåslav (NT), kolflarnlav (NT), lappmes (NT, §4), lunglav (NT), nordtagging (NT), rosenticka (NT), rödbrun blekspik (NT), skrovellav (NT), spillkråka (NT, §4), stjärntagging (NT), talltita (NT, §4), tretåig hackspett (NT, §4), ullticka (NT), vedflamlav (NT), vedskivlav (NT), vitgrynig nållav (NT), vitplätt (NT), vitskaftad svartspik (NT), blodticka (S), bårdlav (S), korallrot (S, §8), luddlav (S), mörk husmossa (S), norrlandslav (S), rävticka (S), skinnlav (S), stuplav (S), trådticka (S), vedticka (S) och ögonpyrola (S). Av dessa är 34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885377"/>
            <wp:docPr id="1" name="Picture 1"/>
            <wp:cNvGraphicFramePr>
              <a:graphicFrameLocks noChangeAspect="1"/>
            </wp:cNvGraphicFramePr>
            <a:graphic>
              <a:graphicData uri="http://schemas.openxmlformats.org/drawingml/2006/picture">
                <pic:pic>
                  <pic:nvPicPr>
                    <pic:cNvPr id="0" name="A 8927-2023 karta.png"/>
                    <pic:cNvPicPr/>
                  </pic:nvPicPr>
                  <pic:blipFill>
                    <a:blip r:embed="rId16"/>
                    <a:stretch>
                      <a:fillRect/>
                    </a:stretch>
                  </pic:blipFill>
                  <pic:spPr>
                    <a:xfrm>
                      <a:off x="0" y="0"/>
                      <a:ext cx="5486400" cy="58853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7229433, E 537700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Blågrå svartspik (NT)</w:t>
      </w:r>
      <w:r>
        <w:t xml:space="preserve"> växer på torr, hård ved av gamla, solbelysta torrakor, högstubbar av tall och grova döda grenar på levande tallar i öppna bestånd av naturskogskaraktär. Nästan alltid rör det sig om tjärrika torrträd och högstubbar (töreved, keloträd) som kan vara en bra bit över hundra år, i vissa fall sannolikt hundratals år gamla. Skogsbruk är idag det allvarligaste hotet. Ett långsiktigt hot är att nybildningen av gamla torrakor och högstubbar är en långsam process vilken ofta är beroende av skogsbrand. Nytt substrat bildas numera sannolikt nästan inte alls då antalet naturliga skogsbränder har minskat drastiskt på grund av effektivare brandbekämpning. Döda träd som lämnas efter avverkning är inte lämpliga för arten, eftersom dessa träd inte varit utsatta för skogsbrand och bildat tjärrik ved. Skogsbruksåtgärder på eller i närheten av växtplatserna bör undvikas. Naturskogsartade skogar med förekomst av arten indikerar höga biologiska värden och bör bevaras. Blågrå svartspik har en mycket begränsad utbredning utanför de nordiska länderna varför dessa länder har ett speciellt ansvar för arten (SLU Artdatabanken, 2024).</w:t>
      </w:r>
    </w:p>
    <w:p>
      <w:r>
        <w:rPr>
          <w:b/>
        </w:rPr>
        <w:t>Bårdlav</w:t>
      </w:r>
      <w:r>
        <w:t xml:space="preserve"> signalerar miljöer med höga naturvärden och på lokalerna finns vanligtvis många andra ovanliga och rödlistade arter. Den visar även på platser med hög och jämn luftfuktighet. Bårdlav är typisk art för </w:t>
      </w:r>
      <w:r>
        <w:rPr>
          <w:i/>
        </w:rPr>
        <w:t xml:space="preserve">9010 Taiga, 9020 Nordlig ädellövskog, 9070 Trädklädd betesmark, 9110 Näringsfattig bokskog, 9160 Näringsrik ekskog, 9180 Ädellövskog i branter </w:t>
      </w:r>
      <w:r>
        <w:t>och</w:t>
      </w:r>
      <w:r>
        <w:rPr>
          <w:i/>
        </w:rPr>
        <w:t xml:space="preserve"> 9190 Näringsfattig ekskog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Fläckporing (VU)</w:t>
      </w:r>
      <w:r>
        <w:t xml:space="preserve"> är en mycket bra signalart som visar på tallnaturskogar med höga naturvärden. Den är placerad högst upp i Skogsstyrelsens värdepyramid för bedömning av skog med höga naturvärden och indikerar områden som är mer eller mindre opåverkade av skogsbruk och där det funnits en kontinuitet av tallågor i olika nedbrytningsstadier. För att på lång sikt bibehålla livskraftiga populationer i ett område behövs troligen större skyddade områden som tillåter att man upprätthåller en naturlig branddynamik. Fläckporing är typisk art för </w:t>
      </w:r>
      <w:r>
        <w:rPr>
          <w:i/>
        </w:rPr>
        <w:t>9010 Taiga</w:t>
      </w:r>
      <w:r>
        <w:t xml:space="preserve"> (SLU Artdatabanken, 2024;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Gammelgransskål är typisk art för </w:t>
      </w:r>
      <w:r>
        <w:rPr>
          <w:i/>
        </w:rPr>
        <w:t>9010 Taiga</w:t>
      </w:r>
      <w:r>
        <w:t xml:space="preserve"> (SLU Artdatabanken, 2024; Nitare &amp; Skogsstyrelsen, 2019).</w:t>
      </w:r>
    </w:p>
    <w:p>
      <w:r>
        <w:rPr>
          <w:b/>
        </w:rPr>
        <w:t>Garnlav (NT)</w:t>
      </w:r>
      <w:r>
        <w:t xml:space="preserve"> är en utpräglad barrskogsart som ibland kan drapera träden i norrländska grannaturskogar med hög luftfuktighet. Den förekommer även i talldominerade bestånd där den, förutom i trädens grenverk, påträffas hängande över ojämnheter i tallbarken. Arten har minskat starkt i södra och mellersta Sverige och den minskar även i sitt nordliga utbredningsområde. Orsaken till tillbakagången beror främst på slutavverkningar av naturskogsartade skogar. Bestånd med riklig förekomst bör regelmässigt sparas. Garnlav är värdväxt för den mycket sällsynta och akut hotade fjärilen barrskogslavfly (CR) som hör hemma i boreala barrskogar med riklig förekomst av värdväxten. Tidigare kunde arten konstateras årligen på flera platser vid Dala-Floda i Dalarna innan lokalerna kalavverkades. Senaste fyndet i landet av barrskogslavfly är från år 2000 då den påträffades vid Högberget i Sollefteå kommun. Garnlav är typisk art för </w:t>
      </w:r>
      <w:r>
        <w:rPr>
          <w:i/>
        </w:rPr>
        <w:t xml:space="preserve">9010 Taiga </w:t>
      </w:r>
      <w:r>
        <w:t>och</w:t>
      </w:r>
      <w:r>
        <w:rPr>
          <w:i/>
        </w:rPr>
        <w:t xml:space="preserve"> 9070 Trädklädd betesmark </w:t>
      </w:r>
      <w:r>
        <w:t xml:space="preserve"> (SLU Artdatabanken, 2024).</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Gräddporing (VU)</w:t>
      </w:r>
      <w:r>
        <w:t xml:space="preserve"> växer nästan enbart i urskogsartad barrskog på gamla, kraftigt murkna, grova och mossbelupna tallågor i något fuktiga och skuggiga lägen. Arten är placerad högst upp i Skogsstyrelsens värdepyramid för bedömning av skog med höga naturvärden och indikerar gamla och relativt orörda tallnaturskogar med höga naturvärden där det under låg tid kontinuerligt funnits inslag av grova tallågor. För att på sikt hejda artens vikande trend behöver merparten av gräddporingens nu kända växtplatser undantas från skogsbruk. Gräddporing är typisk art för </w:t>
      </w:r>
      <w:r>
        <w:rPr>
          <w:i/>
        </w:rPr>
        <w:t>9010 Taiga</w:t>
      </w:r>
      <w:r>
        <w:t xml:space="preserve">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Knottrig blåslav (NT)</w:t>
      </w:r>
      <w:r>
        <w:t xml:space="preserve"> har sin huvudutbredning i gamla granskogar i det övre barrskogsbältet mot fjällen. Den signalerar alltid höga naturvärden och växer i skogar med lång kontinuitet, mest i opåverkade naturskogsbestånd. Arten överlever inte en slutavverkning (inklusive hänsyn) och den finns idag enbart i kontinuitetsskog. Lavens fortsatta förekomst bör säkerställas genom att lokaler med äldre barrskog skyddas. Knottrig blåslav är typisk art för </w:t>
      </w:r>
      <w:r>
        <w:rPr>
          <w:i/>
        </w:rPr>
        <w:t xml:space="preserve">9010 Taiga </w:t>
      </w:r>
      <w:r>
        <w:t>och</w:t>
      </w:r>
      <w:r>
        <w:rPr>
          <w:i/>
        </w:rPr>
        <w:t xml:space="preserve"> 9040 Fjällbjörkskog</w:t>
      </w:r>
    </w:p>
    <w:p>
      <w:r>
        <w:t>(SLU Artdatabanken, 2024; Nitare &amp; Skogsstyrelsen, 2019).</w:t>
      </w:r>
    </w:p>
    <w:p>
      <w:r>
        <w:rPr>
          <w:b/>
        </w:rPr>
        <w:t>Kolflarnlav (NT)</w:t>
      </w:r>
      <w:r>
        <w:t xml:space="preserve"> är brandberoende och växer nästan uteslutande på kolad hård kärnved av tall. Etableringen verkar ske först 100–300 år efter brand och nytt substrat nybildas i mycket begränsad omfattning. Avverkning av tallskog av naturskogskaraktär med spår av återkommande bränder är ett hot och mängden lämplig ved att växa på för arten minskar dels på grund av naturlig nedbrytning men framförallt på grund av att det förstörs i samband med slutavverkningar, gallringar och markberedning. Såväl kolflarnlav som mörk kolflarnlav har glänsande bålfjäll och förekommer främst i tall- och blandbarrskogar av naturskogskaraktär med spår av återkommande bränder. Skogar som dessa hyser höga biologiska värden och bör skyddas. Kolflarnlav är typisk art för </w:t>
      </w:r>
      <w:r>
        <w:rPr>
          <w:i/>
        </w:rPr>
        <w:t>9010 Taiga</w:t>
      </w:r>
      <w:r>
        <w:t xml:space="preserve"> (SLU Artdatabanken, 2024).</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Luddlav</w:t>
      </w:r>
      <w:r>
        <w:t xml:space="preserve"> signalerar lång skoglig kontinuitet med ett stabilt lokal- och mikroklimat med hög och jämn fuktighet. Luddlav är typisk art för </w:t>
      </w:r>
      <w:r>
        <w:rPr>
          <w:i/>
        </w:rPr>
        <w:t>9010 Taiga,</w:t>
      </w:r>
      <w:r>
        <w:t xml:space="preserve"> </w:t>
      </w:r>
      <w:r>
        <w:rPr>
          <w:i/>
        </w:rPr>
        <w:t xml:space="preserve">9020 Nordlig ädellövskog, 9070 Trädklädd betesmark, 9110 Näringsfattig bokskog, 9180 Ädellövskog i branter </w:t>
      </w:r>
      <w:r>
        <w:t>och</w:t>
      </w:r>
      <w:r>
        <w:rPr>
          <w:i/>
        </w:rPr>
        <w:t xml:space="preserve"> 9190 Näringsfattig ekskog </w:t>
      </w:r>
      <w:r>
        <w:t>(Nitare &amp; Skogsstyrelsen, 2019; SLU Artdatabanken, 2025).</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Mörk blåslav (VU)</w:t>
      </w:r>
      <w:r>
        <w:t xml:space="preserve"> förekommer i huvudsak i fjällnära skog i det översta barrskogsbältet och i fjällbjörkskog. Den växer på träd, främst gran, tall och björk, men ibland också på klippor och i så fall ofta på kalkrik berggrund. Flera av förekomsterna är belägna vid vattenfall eller forsar vilket indikerar att den kräver hög luftfuktighet. Avverkning av gammal fjällnära skog är det största hotet. Samtliga lokaler bör skyddas. Mörk blåslav är typisk art för </w:t>
      </w:r>
      <w:r>
        <w:rPr>
          <w:i/>
        </w:rPr>
        <w:t xml:space="preserve">9010 Taiga </w:t>
      </w:r>
      <w:r>
        <w:t>(SLU Artdatabanken, 2025).</w:t>
      </w:r>
    </w:p>
    <w:p>
      <w:r>
        <w:rPr>
          <w:b/>
        </w:rPr>
        <w:t xml:space="preserve">Mörk husmossa </w:t>
      </w:r>
      <w:r>
        <w:t xml:space="preserve">är en mycket bra signalart i södra och mellersta Sverige. Den är sannolikt svårspridd och växer huvudsakligen i skog med lång skoglig kontinuitet i områden med konstant hög luftfuktighet. Den är känslig för större avverkningar, men tål plockhuggning som lämnar ett tätare trädskikt och ett obrutet, fukthållande mosstäcke på marken. Ett par studier har klart visat att artens tillväxt försämras när skogen huggs ner intill växtplatsen, och att ett kalhygges påverkan på mörk husmossa avtar både med avståndet från kalhygget och ju fuktigare växtplatsen är. Mörk husmossa är typisk art för </w:t>
      </w:r>
      <w:r>
        <w:rPr>
          <w:i/>
        </w:rPr>
        <w:t xml:space="preserve">9010 Taiga, 9050 Näringsrik granskog, 9080 Lövsumpskog, 9750 Svämlövskog, 9020 Nordlig ädellövskog, 9160 Näringsrik ekskog </w:t>
      </w:r>
      <w:r>
        <w:t>och</w:t>
      </w:r>
      <w:r>
        <w:rPr>
          <w:i/>
        </w:rPr>
        <w:t xml:space="preserve"> 9180 Ädellövskog i branter</w:t>
      </w:r>
      <w:r>
        <w:t xml:space="preserve"> (SLU Artdatabanken, 2024; Nitare &amp; Skogsstyrelsen, 2019).</w:t>
      </w:r>
    </w:p>
    <w:p>
      <w:r>
        <w:rPr>
          <w:b/>
        </w:rPr>
        <w:t>Nordtagging (NT)</w:t>
      </w:r>
      <w:r>
        <w:t xml:space="preserve"> växer främst på tallågor av grövre dimensioner och påträffas huvudsakligen i äldre skog som inte kalavverkats. Nordtaggingen missgynnas av att områden med äldre tallskog har minskat starkt. Bekämpning av skogsbränder, samtidigt som skogsbruket omvandlar naturligt glesa tallbestånd till likartade och betydligt tätare bestånd, har missgynnat arten. Bristen på gamla tallågor utgör på sikt ett allvarligt hot och återskapandet av lämpliga biotoper tar mycket lång tid. Områden med olikåldriga bestånd av tall och med stort inslag av äldre träd bör undantas från skoglig produktion (SLU Artdatabanken, 2024).</w:t>
      </w:r>
    </w:p>
    <w:p>
      <w:r>
        <w:rPr>
          <w:b/>
        </w:rPr>
        <w:t xml:space="preserve">Norrlandslav </w:t>
      </w:r>
      <w:r>
        <w:t xml:space="preserve">indikerar söder om den naturliga norrlandsgränsen barrskogsbeklädda bergbranter eller andra ostörda skogsmiljöer med höga naturvärden. Norrlandslav är typisk art för </w:t>
      </w:r>
      <w:r>
        <w:rPr>
          <w:i/>
        </w:rPr>
        <w:t xml:space="preserve">9010 Taiga, 8110 Silikatrasmarker </w:t>
      </w:r>
      <w:r>
        <w:t>och</w:t>
      </w:r>
      <w:r>
        <w:rPr>
          <w:i/>
        </w:rPr>
        <w:t xml:space="preserve"> 8120 Kalkrasmarker </w:t>
      </w:r>
      <w:r>
        <w:t>(Nitare &amp; Skogsstyrelsen, 2000; SLU Artdatabanken, 2025).</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Rävticka</w:t>
      </w:r>
      <w:r>
        <w:t xml:space="preserve"> är typisk art för </w:t>
      </w:r>
      <w:r>
        <w:rPr>
          <w:i/>
        </w:rPr>
        <w:t xml:space="preserve">9010 Taiga </w:t>
      </w:r>
      <w:r>
        <w:t>(SLU Artdatabanken, 2025).</w:t>
      </w:r>
    </w:p>
    <w:p>
      <w:r>
        <w:rPr>
          <w:b/>
        </w:rPr>
        <w:t>Rödbrun blekspik (NT)</w:t>
      </w:r>
      <w:r>
        <w:t xml:space="preserve"> växer i norra Sverige på bark och ved av björk och gran i skogar med hög och jämn luftfuktighet. I södra Sverige växer den främst på ek i öppna åldriga lövskogar. I norra delen av sitt utbredningsområde hotas arten av slutavverkningar av gamla granskogar. I den södra delen av landet hotas den genom de åldriga lövskogarnas tillbakagång och särskilt ekhagarnas igenväxning och genom plantering av sådan mark med barrskog. Rödbrun blekspik är typisk art för </w:t>
      </w:r>
      <w:r>
        <w:rPr>
          <w:i/>
        </w:rPr>
        <w:t xml:space="preserve">9010 Taiga, 9020 Nordlig ädellövskog, 9070 Trädklädd betesmark, 9160 Näringsrik ekskog </w:t>
      </w:r>
      <w:r>
        <w:t xml:space="preserve">och </w:t>
      </w:r>
      <w:r>
        <w:rPr>
          <w:i/>
        </w:rPr>
        <w:t>9180 Ädellövskog i branter</w:t>
      </w:r>
      <w:r>
        <w:t xml:space="preserve"> och signalerar alltid höga naturvärden (SLU Artdatabanken, 2024; Nitare &amp; Skogsstyrelsen, 2019).</w:t>
      </w:r>
    </w:p>
    <w:p>
      <w:r>
        <w:rPr>
          <w:b/>
        </w:rPr>
        <w:t xml:space="preserve">Skinnlav </w:t>
      </w:r>
      <w:r>
        <w:t xml:space="preserve">förekommer på diverse lövträd, främst på gammal asp och sälg. Den påträffas främst i områden med lång kontinuitet av grova lövträd och signalerar skogsmark med höga naturvärden. På lokalerna förekommer som regel ett flertal andra ovanliga eller rödlistade lavar. I likhet med gelélavarna, etablerar sig skinnlaven i skogsmark på grova aspar i sena lövsuccessioner. Skinnlav är typisk art för </w:t>
      </w:r>
      <w:r>
        <w:rPr>
          <w:i/>
        </w:rPr>
        <w:t xml:space="preserve">9010 Taiga, 9020 Nordlig ädellövskog </w:t>
      </w:r>
      <w:r>
        <w:t xml:space="preserve">och </w:t>
      </w:r>
      <w:r>
        <w:rPr>
          <w:i/>
        </w:rPr>
        <w:t xml:space="preserve">9070 Trädklädd betesmark </w:t>
      </w:r>
      <w:r>
        <w:t>(Nitare &amp; Skogsstyrelsen, 2019; SLU Artdatabanken, 2025).</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Stuplav</w:t>
      </w:r>
      <w:r>
        <w:t xml:space="preserve"> är en mycket bra signalart i hela sitt utbredningsområde och förekommer nästan enbart i skogsmiljöer med höga naturvärden. Den indikerar långvarig förekomst av gamla lövträd och miljöer med konstant hög luftfuktighet. Stuplav är typisk art för </w:t>
      </w:r>
      <w:r>
        <w:rPr>
          <w:i/>
        </w:rPr>
        <w:t>9010 Taiga</w:t>
      </w:r>
      <w:r>
        <w:t xml:space="preserve">. I skogar med suboceaniskt klimat finns det en mycket sällsynt parasit, njurlavsknapp </w:t>
      </w:r>
      <w:r>
        <w:rPr>
          <w:i/>
        </w:rPr>
        <w:t>Pletocarpon nephromeum</w:t>
      </w:r>
      <w:r>
        <w:t xml:space="preserve"> (EN), som växer på stuplav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Vedflamlav (NT)</w:t>
      </w:r>
      <w:r>
        <w:t xml:space="preserve"> växer på gammal hård och torr, exponerad kärnved av tall, främst på högstubbar i ljusöppna lägen, t.ex. vid och på myrar, sjökanter, i glesa hällmarkskogar och i brandpräglade tallnaturskogar. Substratet nyskapas i begränsad omfattning och arten är en utmärkt indikator på höga naturvärden i denna skogstyp. Tall- och barrblandskogar med naturskogskaraktär och spår av bränder har ofta höga biologiska värden och bör skyddas (SLU Artdatabanken, 2024).</w:t>
      </w:r>
    </w:p>
    <w:p>
      <w:r>
        <w:rPr>
          <w:b/>
        </w:rPr>
        <w:t>Vedskivlav (NT)</w:t>
      </w:r>
      <w:r>
        <w:t xml:space="preserve"> växer på gammal, torr, exponerad, hård kärnved av framförallt tall i naturskogsartade bestånd. Avverkning av tallskog av naturskogskaraktär med spår av återkommande bränder är ett hot. Mängden lämplig ved att växa på för vedskivlav minskar, dels på grund av naturlig nedbrytning men framförallt på grund av att de förstörs i samband med slutavverkningar, gallringar och markberedning. Tall- och blandbarrskogar av naturskogskaraktär med spår av återkommande bränder bör skyddas. Vedskivlav är typisk art för </w:t>
      </w:r>
      <w:r>
        <w:rPr>
          <w:i/>
        </w:rPr>
        <w:t>9010 Taiga</w:t>
      </w:r>
      <w:r>
        <w:t xml:space="preserve"> (SLU Artdatabanken, 2024).</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r>
        <w:rPr>
          <w:b/>
        </w:rPr>
        <w:t>Vitgrynig nållav (NT)</w:t>
      </w:r>
      <w:r>
        <w:t xml:space="preserve"> växer nästan uteslutande på bark av gamla, senvuxna granar i skuggiga lägen med hög och jämn luftfuktighet. Den vanligaste naturtypen för arten är kontinuitetsskogar på frisk mark men den finns också i sumpgranskogar. På lång sikt utgör avverkningar av olikåldriga granskogar av naturskogskaraktär ett allvarligt hot mot arten och skogsbruksåtgärder på eller i närheten av växtplatserna bör undvikas. Naturskogsartade, fuktiga granskogar med förekomster av arten signalerar höga biologiska värden och bör bevaras (SLU Artdatabanken, 2024; Nitare &amp; Skogsstyrelsen, 2019).</w:t>
      </w:r>
    </w:p>
    <w:p>
      <w:r>
        <w:rPr>
          <w:b/>
        </w:rPr>
        <w:t>Vitplätt (NT)</w:t>
      </w:r>
      <w:r>
        <w:t xml:space="preserve"> är en nedbrytare av död, hård och torr tallved och orsakar brunröta. Den förekommer mest i äldre, naturskogsliknande tallskog eller blandskog med äldre tall. Arten hotas av avverkning av gammal, senvuxen tall. I södra Sverige råder brist på lämpliga habitat och arten kan inte längre sprida sig utanför sina få kända växtplatser. Lokaler med gammal tall bör undantas från skogsbruk, i synnerhet i södra Sverige (SLU Artdatabanken, 2024).</w:t>
      </w:r>
    </w:p>
    <w:p>
      <w:r>
        <w:rPr>
          <w:b/>
        </w:rPr>
        <w:t>Vitskaftad svartspik (NT)</w:t>
      </w:r>
      <w:r>
        <w:t xml:space="preserve"> förekommer främst i naturskog på gamla senvuxna granar och signalerar alltid höga naturvärden. Alla skogliga åtgärder som kan påverka markvatten och luftfuktighet på i närheten av lokaler utgör ett hot. Avverkning av naturskogar utgör ett allvarligt hot och alla skogsskötselåtgärder på eller i närheten av växtplatserna bör undvikas. Lämpligt stora reservat av naturskogstyp bör bevaras. Vitskaftad svartspik är typisk art för </w:t>
      </w:r>
      <w:r>
        <w:rPr>
          <w:i/>
        </w:rPr>
        <w:t>9010 Taiga</w:t>
      </w:r>
      <w:r>
        <w:t xml:space="preserve"> (SLU Artdatabanken, 2024; Nitare &amp; Skogsstyrelsen, 2019).</w:t>
      </w:r>
    </w:p>
    <w:p>
      <w:r>
        <w:rPr>
          <w:b/>
        </w:rPr>
        <w:t xml:space="preserve">Ögonpyrola </w:t>
      </w:r>
      <w:r>
        <w:t xml:space="preserve">är normalt en bra signalart som visar på områden med höga naturvärden och stabila förhållanden, särskilt inom näringsfattiga trakter. Växten är mycket känslig för markskador och försvinner snabbt efter slutavverkning. Den hotas också av skogsgödsling och markavvattning. Ögonpyrola är typisk art för </w:t>
      </w:r>
      <w:r>
        <w:rPr>
          <w:i/>
        </w:rPr>
        <w:t>9010 Taiga</w:t>
      </w:r>
      <w:r>
        <w:t xml:space="preserve"> och</w:t>
      </w:r>
      <w:r>
        <w:rPr>
          <w:i/>
        </w:rPr>
        <w:t xml:space="preserve"> 9070 Trädklädd betesmark</w:t>
      </w:r>
      <w:r>
        <w:t xml:space="preserve"> (Nitare &amp; Skogsstyrelsen, 2019; SLU Artdatabanken, 2024).</w:t>
      </w:r>
    </w:p>
    <w:p>
      <w:pPr>
        <w:pStyle w:val="Heading1"/>
      </w:pPr>
      <w:r>
        <w:t>Fridlysta arter</w:t>
      </w:r>
    </w:p>
    <w:p>
      <w:r>
        <w:t>Följande fridlysta arter har sina livsmiljöer och växtplatser i den avverkningsanmälda skogen: tallbit (VU, §4), fjällvråk (NT, §4), lappmes (NT, §4), spillkråka (NT, §4), talltita (NT, §4), tretåig hackspett (NT, §4) och korallrot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Lappmes (NT, §4)</w:t>
      </w:r>
      <w:r>
        <w:t xml:space="preserve">, som är typisk art för </w:t>
      </w:r>
      <w:r>
        <w:rPr>
          <w:i/>
        </w:rPr>
        <w:t>9010 Taiga</w:t>
      </w:r>
      <w:r>
        <w:t>, rödlistad som nära hotad och prioriterad art i Skogsvårdslagen, har minskat med 17,5 (5–30) % under de senaste 10 åren. Lappmesen är en mycket stationär art som häckar i norra Sveriges barr- och blandskogar samt i fjällbjörkskogen. Arten missgynnas starkt av skogsbruk och studier har visat att överlevnaden och vikten hos flygga ungfåglar är högre i naturskog än i gallrad skog. Hemområdesstorleken under häckningstid anges uppgå till 15–20 ha, men kan i marginella habitat vara mycket större, 50–100 ha. Minsta areal äldre skog med observationer under häckningstid i norra Finland var 15 ha (SLU Artdatabanken, 2024; Skogsstyrelsen, 2016).</w:t>
      </w: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Spillkråka är typisk art för </w:t>
      </w:r>
      <w:r>
        <w:rPr>
          <w:i/>
        </w:rPr>
        <w:t xml:space="preserve">9010 Taiga </w:t>
      </w:r>
      <w:r>
        <w:t>och</w:t>
      </w:r>
      <w:r>
        <w:rPr>
          <w:i/>
        </w:rPr>
        <w:t xml:space="preserve"> 9740 Skogsbevuxen myr </w:t>
      </w:r>
      <w:r>
        <w:t>(SLU Artdatabanken, 2023).</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Tretåig hackspett är typisk art för </w:t>
      </w:r>
      <w:r>
        <w:rPr>
          <w:i/>
        </w:rPr>
        <w:t xml:space="preserve">9010 Taiga, 9740 Skogsbevuxen myr, 9030 Landhöjningsskog </w:t>
      </w:r>
      <w:r>
        <w:t xml:space="preserve">och </w:t>
      </w:r>
      <w:r>
        <w:rPr>
          <w:i/>
        </w:rPr>
        <w:t>9040 Fjällbjörkskog</w:t>
      </w:r>
      <w:r>
        <w:t xml:space="preserve"> (Skogsstyrelsen, 2016; SLU Artdatabanken, 2024).</w:t>
      </w:r>
    </w:p>
    <w:p>
      <w:r>
        <w:t>I BILAGA 1 finns mer detaljerad information om ekologi samt krav på livsmiljö hos fridlysta arter.</w:t>
      </w:r>
    </w:p>
    <w:p>
      <w:r>
        <w:br w:type="page"/>
      </w:r>
    </w:p>
    <w:p>
      <w:pPr>
        <w:pStyle w:val="Title"/>
      </w:pPr>
      <w:r>
        <w:t>BILAGA 1 –</w:t>
        <w:br/>
        <w:t>Fridlysta och rödlistade arter</w:t>
      </w:r>
    </w:p>
    <w:p>
      <w:pPr>
        <w:pStyle w:val="Heading1"/>
      </w:pPr>
      <w:r>
        <w:t>Lappmes – ekologi samt krav på livsmiljön</w:t>
      </w:r>
    </w:p>
    <w:p>
      <w:r>
        <w:t>Lappmes (NT, §4) är en mycket stationär art som häckar i norra Sveriges barr- och blandskogar samt i fjällbjörkskogen. Utbredningen i såväl Finland, Norge och Sverige har krympt och hos oss är den nu vanligast i fjällnära områden där det finns större arealer av naturskog kvar (Skogsstyrelsen, 2016). Minskningstakten har uppgått till 17,5 (5–30) % under de senaste 10 åren. Bedömningen baseras på ett för arten lämpligt abundansindex och minskad geografisk utbredning och/eller försämrad habitatkvalitet. Baserat på de troligaste värdena hamnar arten i kategorin Nära hotad (NT). Minskningstakten för den svenska populationen bedöms vara nära gränsvärdet för Sårbar (VU). (A2bc) (SLU Artdatabanken, 2024).</w:t>
      </w:r>
    </w:p>
    <w:p>
      <w:r>
        <w:t>Tyngdpunkten i förekomsten är knuten till områden med sammanhängande äldre barrskog men lappmesen häckar även i fjällbjörkszonen (dock i mycket lägre tätheter). Lappmesen häckar i naturliga hål och hackspetthål i stående träd och högstubbar. Håligheter används även som sovplatser under vintern. Lappmesen är till största delen en stannfågel – i synnerhet gamla fåglar förefaller vara extremt hemortstrogna. Ungfåglar kan dock vissa år vandra ut i stor omfattning (SLU Artdatabanken, 2024).</w:t>
      </w:r>
    </w:p>
    <w:p>
      <w:r>
        <w:t>Studier i Finland och Norge tyder på att lappmesen missgynnas starkt av skogsbruk. Högre överlevnad och högre vikter hos flygga ungfåglar rapporteras från naturskog än i gallrad skog. Från norra Finland rapporteras födobrist vara en viktigare faktor än predation för överlevnaden i bostadiet. Hemområdesstorleken under häckningstid anges uppgå till 15–20 ha, men kan i marginella habitat vara mycket större, 50–100 ha. Minsta areal äldre skog med observationer under häckningstid i norra Finland var 15 ha (SLU Artdatabanken, 2024).</w:t>
      </w:r>
    </w:p>
    <w:p>
      <w:r>
        <w:t xml:space="preserve">Lappmesen missgynnas när skogen blir alltför fragmenterad, och understiger arealen sammanhängande lämplig miljö 15 hektar så överges reviret. Brist på naturliga hål och hackspetthål samt brist på döda murkna löv- och barrträd där lappmesen själv kan mejsla ut bohål är starkt negativ. Lappmes är typisk art för </w:t>
      </w:r>
      <w:r>
        <w:rPr>
          <w:i/>
        </w:rPr>
        <w:t>9010 Taiga</w:t>
      </w:r>
      <w:r>
        <w:t xml:space="preserve"> och fridlyst enligt 4§ artskyddsförordningen (Skogsstyrelsen, 2016; SLU Artdatabanken, 2024).</w:t>
      </w:r>
    </w:p>
    <w:p>
      <w:pPr>
        <w:pStyle w:val="Heading2"/>
      </w:pPr>
      <w:r>
        <w:t>Referenser – lappmes</w:t>
      </w:r>
    </w:p>
    <w:p>
      <w:r>
        <w:t xml:space="preserve">Skogsstyrelsen, 2016. </w:t>
      </w:r>
      <w:r>
        <w:rPr>
          <w:i/>
        </w:rPr>
        <w:t xml:space="preserve">Vägledning för hänsyn till lappmes. </w:t>
      </w:r>
      <w:r>
        <w:t>Vägledningar och kunskapsstöd artskydd - Skogsstyrelsen</w:t>
      </w:r>
    </w:p>
    <w:p>
      <w:r>
        <w:t xml:space="preserve">SLU Artdatabanken, 2024. </w:t>
      </w:r>
      <w:r>
        <w:rPr>
          <w:i/>
        </w:rPr>
        <w:t xml:space="preserve">Artfakta: lappmes (Poecile cinctus). </w:t>
      </w:r>
      <w:r>
        <w:t>https://artfakta.se/taxa/103022</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Spillkråka – ekologi samt krav på livsmiljön</w:t>
      </w:r>
    </w:p>
    <w:p>
      <w:r>
        <w:t xml:space="preserve">Spillkråka (NT) är rödlistad som nära hotad, fridlyst enligt §4 Artskyddsförordningen, typisk art för </w:t>
      </w:r>
      <w:r>
        <w:rPr>
          <w:i/>
        </w:rPr>
        <w:t xml:space="preserve">9010 Taiga </w:t>
      </w:r>
      <w:r>
        <w:t>och</w:t>
      </w:r>
      <w:r>
        <w:rPr>
          <w:i/>
        </w:rPr>
        <w:t xml:space="preserve"> 9740 Skogsbevuxen myr</w:t>
      </w:r>
      <w:r>
        <w:t xml:space="preserve"> och ingår i bilaga 1 i EU:s fågeldirektiv. Spillkråka lever i både barr- och blandskog liksom i ren lövskog. De tätaste populationerna tenderar att finnas i äldre, variationsrik blandskog med gott om död ved och gamla träd.</w:t>
      </w:r>
    </w:p>
    <w:p>
      <w:r>
        <w:t>Varje par utnyttjar 400–1000 hektar skog beroende på skogens kvalitet. En minskning av populationen pågår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p>
      <w:pPr>
        <w:pStyle w:val="Heading1"/>
      </w:pPr>
      <w:r>
        <w:t>Talltita – ekologi samt krav på livsmiljön</w:t>
      </w:r>
    </w:p>
    <w:p>
      <w:r>
        <w:t>Talltita är rödlistad som NT, fridlyst och prioriterad art i Skogsvårdslagen. Den omfattas av EU:s fågeldirektiv. Arten har minskat kraftigt de senaste 30 åren och minskningstakten innevarande 10-årsperiod beräknas till 20 (10–30) % (SLU Artdatabanken, 2022).</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For. Ecol. Manage. 319, 169–175.</w:t>
      </w:r>
    </w:p>
    <w:p>
      <w:r>
        <w:t xml:space="preserve">Ekman, J., 1979. </w:t>
      </w:r>
      <w:r>
        <w:rPr>
          <w:i/>
        </w:rPr>
        <w:t xml:space="preserve">Coherence, composition and territories of winter social groups of the Willow Tit Parus montanus and the Crested Tit P. cristatus. </w:t>
      </w:r>
      <w:r>
        <w:t>Ornis Scandinavica, 10, pp 56–68</w:t>
      </w:r>
    </w:p>
    <w:p>
      <w:r>
        <w:t xml:space="preserve">Griesser, M., Nystrand, M., Eggers, S., Ekman, J., 2007. </w:t>
      </w:r>
      <w:r>
        <w:rPr>
          <w:i/>
        </w:rPr>
        <w:t xml:space="preserve">Impact of forestry practices on fitness correlates and population productivity in an open-nesting bird species. </w:t>
      </w:r>
      <w:r>
        <w:t>Conserv. Biol. 21, 767–774. https://doi.org/10.1111/j.1523- 1739.2007.00675.x</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SLU Artdatabanken, Uppsala</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r>
        <w:t xml:space="preserve"> (SLU Artdatabanken, 2024; Skogsstyrelsen, 2016)</w:t>
      </w:r>
      <w:r>
        <w:rPr>
          <w:i/>
        </w:rPr>
        <w: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(SLU Artdatabanken, 2024; Skogsstyrelsen, 2016).</w:t>
      </w:r>
    </w:p>
    <w:p>
      <w:r>
        <w:t xml:space="preserve">Förutom fridlysning enligt §4 Artskyddsförordningen är tretåig hackspett även förtecknad i EU:s fågeldirektiv bilaga 1. Den är typisk art för </w:t>
      </w:r>
      <w:r>
        <w:rPr>
          <w:i/>
        </w:rPr>
        <w:t xml:space="preserve">9010 Taiga, 9740 Skogsbevuxen myr, 9030 Landhöjningsskog </w:t>
      </w:r>
      <w:r>
        <w:t xml:space="preserve">och </w:t>
      </w:r>
      <w:r>
        <w:rPr>
          <w:i/>
        </w:rPr>
        <w:t>9040 Fjällbjörkskog</w:t>
      </w:r>
      <w:r>
        <w:t xml:space="preserve"> samt ingår i Natura 2000 och är förtecknad i Bernkonventionen bilaga II (strikt skyddade djurarter) (SLU Artdatabanken, 2024; Skogsstyrelsen, 2016).</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Vägledning för hänsyn till fåglar – Tretåig hackspett.</w:t>
      </w:r>
    </w:p>
    <w:p>
      <w:r>
        <w:t xml:space="preserve">SLU Artdatabanken, 2024. </w:t>
      </w:r>
      <w:r>
        <w:rPr>
          <w:i/>
        </w:rPr>
        <w:t xml:space="preserve">Artfaktablad. Naturvård – artfakta. </w:t>
      </w:r>
      <w:r>
        <w:t>SLU Artdatabanken, Uppsala.</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2026-02-23</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